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9A8B29" wp14:paraId="709C4331" wp14:textId="26A94D10">
      <w:pPr>
        <w:pStyle w:val="Heading1"/>
        <w:rPr>
          <w:rFonts w:ascii="Aptos" w:hAnsi="Aptos" w:eastAsia="Aptos" w:cs="Aptos" w:asciiTheme="minorAscii" w:hAnsiTheme="minorAscii" w:eastAsiaTheme="minorAscii" w:cstheme="minorAscii"/>
          <w:noProof w:val="0"/>
          <w:sz w:val="22"/>
          <w:szCs w:val="22"/>
          <w:lang w:val="en-US"/>
        </w:rPr>
      </w:pPr>
      <w:r w:rsidRPr="779A8B29" w:rsidR="339915C5">
        <w:rPr>
          <w:noProof w:val="0"/>
          <w:lang w:val="en-US"/>
        </w:rPr>
        <w:t>Safeguarding Adults at Risk Policy</w:t>
      </w:r>
    </w:p>
    <w:p xmlns:wp14="http://schemas.microsoft.com/office/word/2010/wordml" w:rsidP="779A8B29" wp14:paraId="50CB5B73" wp14:textId="60DA75AD">
      <w:pPr>
        <w:pStyle w:val="Heading2"/>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pPr>
      <w:r w:rsidRPr="779A8B29" w:rsidR="6965B4F8">
        <w:rPr>
          <w:noProof w:val="0"/>
          <w:lang w:val="en-US"/>
        </w:rPr>
        <w:t>Introduction</w:t>
      </w:r>
    </w:p>
    <w:p xmlns:wp14="http://schemas.microsoft.com/office/word/2010/wordml" w:rsidP="779A8B29" wp14:paraId="12CE7B44" wp14:textId="3420687F">
      <w:pPr>
        <w:pStyle w:val="Normal"/>
        <w:shd w:val="clear" w:color="auto" w:fill="FFFFFF" w:themeFill="background1"/>
        <w:spacing w:before="0" w:beforeAutospacing="off" w:after="216" w:afterAutospacing="off"/>
        <w:ind w:left="0"/>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pPr>
      <w:r w:rsidRPr="779A8B29" w:rsidR="7C24D9C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Staff and contractors of Norwich Climate CIC (trading as Our Power)</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come into contact with</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adults </w:t>
      </w:r>
      <w:r w:rsidRPr="779A8B29" w:rsidR="12B40137">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who</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may be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deemed</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‘adults at risk’ due to care and support needs</w:t>
      </w:r>
      <w:r w:rsidRPr="779A8B29" w:rsidR="5302A90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w:t>
      </w:r>
      <w:r w:rsidRPr="779A8B29" w:rsidR="1B54FB52">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both in community settings and through energy advice home visits.</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While </w:t>
      </w:r>
      <w:r w:rsidRPr="779A8B29" w:rsidR="257A2B63">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Our Power</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staff are not usually in a position of </w:t>
      </w:r>
      <w:r w:rsidRPr="779A8B29" w:rsidR="2608578B">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direct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responsibility for adults at risk, we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recognise</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the importance of safeguarding and promoting the welfare of those with </w:t>
      </w:r>
      <w:r w:rsidRPr="779A8B29" w:rsidR="270C9FA8">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care and support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needs.</w:t>
      </w:r>
    </w:p>
    <w:p xmlns:wp14="http://schemas.microsoft.com/office/word/2010/wordml" w:rsidP="779A8B29" wp14:paraId="6A68D106" wp14:textId="2AADAE7E">
      <w:pPr>
        <w:pStyle w:val="Heading2"/>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r w:rsidRPr="779A8B29" w:rsidR="339915C5">
        <w:rPr>
          <w:noProof w:val="0"/>
          <w:lang w:val="en-US"/>
        </w:rPr>
        <w:t>Purpose</w:t>
      </w:r>
    </w:p>
    <w:p w:rsidR="339915C5" w:rsidP="779A8B29" w:rsidRDefault="339915C5" w14:paraId="10B23C59" w14:textId="2397A9FF">
      <w:pPr>
        <w:pStyle w:val="Normal"/>
        <w:suppressLineNumbers w:val="0"/>
        <w:shd w:val="clear" w:color="auto" w:fill="FFFFFF" w:themeFill="background1"/>
        <w:bidi w:val="0"/>
        <w:spacing w:before="0" w:beforeAutospacing="off" w:after="216"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The purpose of this policy is to </w:t>
      </w:r>
      <w:r w:rsidRPr="779A8B29" w:rsidR="37AF20E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set out </w:t>
      </w:r>
      <w:r w:rsidRPr="779A8B29" w:rsidR="58CDAC0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the principles that guide Our Power’s approach to safeguarding, and </w:t>
      </w:r>
      <w:r w:rsidRPr="779A8B29" w:rsidR="37AF20E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how </w:t>
      </w:r>
      <w:r w:rsidRPr="779A8B29" w:rsidR="08B6841C">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we </w:t>
      </w:r>
      <w:r w:rsidRPr="779A8B29" w:rsidR="37AF20E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operate</w:t>
      </w:r>
      <w:r w:rsidRPr="779A8B29" w:rsidR="37AF20E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to safeguard adults </w:t>
      </w:r>
      <w:r w:rsidRPr="779A8B29" w:rsidR="28DECDAC">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at risk of abuse or neglect</w:t>
      </w:r>
      <w:r w:rsidRPr="779A8B29" w:rsidR="37AF20E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t>
      </w:r>
    </w:p>
    <w:p xmlns:wp14="http://schemas.microsoft.com/office/word/2010/wordml" w:rsidP="779A8B29" wp14:paraId="7B890BAC" wp14:textId="1F3A6DD2">
      <w:pPr>
        <w:pStyle w:val="Heading2"/>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r w:rsidRPr="779A8B29" w:rsidR="339915C5">
        <w:rPr>
          <w:noProof w:val="0"/>
          <w:lang w:val="en-US"/>
        </w:rPr>
        <w:t>Definitions</w:t>
      </w:r>
    </w:p>
    <w:p xmlns:wp14="http://schemas.microsoft.com/office/word/2010/wordml" w:rsidP="779A8B29" wp14:paraId="6C61A89A" wp14:textId="06C7080D">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The Care Act (2014 – available at </w:t>
      </w:r>
      <w:hyperlink r:id="Rc4ba9198e9ce45fa">
        <w:r w:rsidRPr="779A8B29" w:rsidR="339915C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FF0000"/>
            <w:sz w:val="22"/>
            <w:szCs w:val="22"/>
            <w:u w:val="single"/>
            <w:lang w:val="en-US"/>
          </w:rPr>
          <w:t>https://www.legislation.gov.uk/ukpga/2014/23/contents</w:t>
        </w:r>
      </w:hyperlink>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defines an Adult at Risk as a person aged 18 or over who has needs for care and support (whether or not the local authority is meeting any of those needs) who is experiencing, or is at risk of, abuse or neglect, and as a result of those needs is unable to protect themselves against the abuse or neglect or the risk of it.</w:t>
      </w:r>
    </w:p>
    <w:p xmlns:wp14="http://schemas.microsoft.com/office/word/2010/wordml" w:rsidP="5806687C" wp14:paraId="2253C0FA" wp14:textId="33D09DDE">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This </w:t>
      </w:r>
      <w:r w:rsidRPr="5806687C" w:rsidR="339915C5">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may</w:t>
      </w: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include:</w:t>
      </w:r>
    </w:p>
    <w:p xmlns:wp14="http://schemas.microsoft.com/office/word/2010/wordml" w:rsidP="5806687C" wp14:paraId="2DE62431" wp14:textId="14B11914">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An older person</w:t>
      </w:r>
    </w:p>
    <w:p xmlns:wp14="http://schemas.microsoft.com/office/word/2010/wordml" w:rsidP="5806687C" wp14:paraId="5D2BCAC3" wp14:textId="15C1D88A">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 person with a physical or learning disability or sensory impairment</w:t>
      </w:r>
    </w:p>
    <w:p xmlns:wp14="http://schemas.microsoft.com/office/word/2010/wordml" w:rsidP="5806687C" wp14:paraId="4F5B0F1C" wp14:textId="51DC6028">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Someone with mental health needs, including dementia or a brain injury</w:t>
      </w:r>
    </w:p>
    <w:p xmlns:wp14="http://schemas.microsoft.com/office/word/2010/wordml" w:rsidP="5806687C" wp14:paraId="7349CD4E" wp14:textId="666818F2">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 person with a long-term health condition</w:t>
      </w:r>
    </w:p>
    <w:p xmlns:wp14="http://schemas.microsoft.com/office/word/2010/wordml" w:rsidP="5806687C" wp14:paraId="72346CF5" wp14:textId="08DCAEC0">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806687C"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Someone who misuses substances or alcohol to the extent that it affects their ability to manage day-to-day living</w:t>
      </w:r>
    </w:p>
    <w:p xmlns:wp14="http://schemas.microsoft.com/office/word/2010/wordml" w:rsidP="41235D90" wp14:paraId="2BE2EDBD" wp14:textId="59A1F2D7">
      <w:pPr>
        <w:pStyle w:val="ListParagraph"/>
        <w:numPr>
          <w:ilvl w:val="0"/>
          <w:numId w:val="3"/>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41235D90"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 carer, providing unpaid care to a family member or friend</w:t>
      </w:r>
      <w:r w:rsidRPr="41235D90" w:rsidR="0D995606">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t>
      </w:r>
    </w:p>
    <w:p w:rsidR="779A8B29" w:rsidP="779A8B29" w:rsidRDefault="779A8B29" w14:paraId="12DE42DB" w14:textId="17A10275">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p>
    <w:p w:rsidR="339915C5" w:rsidP="779A8B29" w:rsidRDefault="339915C5" w14:paraId="3941396D" w14:textId="09F66DEB">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Abuse is defined as a violation of an individual’s human and civil rights by any other person or persons, including physical abuse; sexual abuse; emotional or psychological abuse; neglect and acts of omission; self-neglect; financial or material abuse; </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organisational</w:t>
      </w:r>
      <w:r w:rsidRPr="779A8B2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or institutional abuse; modern slavery; domestic violence or abuse and discriminatory abuse.</w:t>
      </w:r>
    </w:p>
    <w:p w:rsidR="599A7BD4" w:rsidP="779A8B29" w:rsidRDefault="599A7BD4" w14:paraId="3BB1CD03" w14:textId="3906906D">
      <w:pPr>
        <w:pStyle w:val="Heading2"/>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r w:rsidRPr="779A8B29" w:rsidR="599A7BD4">
        <w:rPr>
          <w:noProof w:val="0"/>
          <w:lang w:val="en-US"/>
        </w:rPr>
        <w:t>Policy</w:t>
      </w:r>
    </w:p>
    <w:p w:rsidR="40BA58E9" w:rsidP="74EF8476" w:rsidRDefault="40BA58E9" w14:paraId="7D3B7111" w14:textId="0503EDFB">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4EF8476" w:rsidR="40BA58E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We </w:t>
      </w:r>
      <w:r w:rsidRPr="74EF8476" w:rsidR="40BA58E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recognise</w:t>
      </w:r>
      <w:r w:rsidRPr="74EF8476" w:rsidR="40BA58E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that e</w:t>
      </w:r>
      <w:r w:rsidRPr="74EF8476"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veryone has a responsibility to promote the welfare of all adults at risk of harm</w:t>
      </w:r>
      <w:r w:rsidRPr="74EF8476" w:rsidR="5789084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to report safeguarding </w:t>
      </w:r>
      <w:r w:rsidRPr="74EF8476"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concerns</w:t>
      </w:r>
      <w:r w:rsidRPr="74EF8476" w:rsidR="5590BF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the relevant authorities</w:t>
      </w:r>
      <w:r w:rsidRPr="74EF8476" w:rsidR="053EF6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40BA58E9" w:rsidP="74EF8476" w:rsidRDefault="40BA58E9" w14:paraId="4D0A6B20" w14:textId="7740F99A">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4EF8476" w:rsidR="1A8B50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authority responsible for </w:t>
      </w:r>
      <w:r w:rsidRPr="74EF8476" w:rsidR="1A8B50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safeguarding in</w:t>
      </w:r>
      <w:r w:rsidRPr="74EF8476" w:rsidR="1A8B50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Norfolk is Norfolk County Council. A safeguarding concern can be reported by calling </w:t>
      </w:r>
      <w:r w:rsidRPr="74EF8476" w:rsidR="1A8B505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0344 800 8020 or by filling in the report form at</w:t>
      </w:r>
      <w:r w:rsidRPr="74EF8476" w:rsidR="1A8B5059">
        <w:rPr>
          <w:rFonts w:ascii="Assistant" w:hAnsi="Assistant" w:eastAsia="Assistant" w:cs="Assistant"/>
          <w:b w:val="1"/>
          <w:bCs w:val="1"/>
          <w:i w:val="0"/>
          <w:iCs w:val="0"/>
          <w:caps w:val="0"/>
          <w:smallCaps w:val="0"/>
          <w:noProof w:val="0"/>
          <w:color w:val="000000" w:themeColor="text1" w:themeTint="FF" w:themeShade="FF"/>
          <w:sz w:val="27"/>
          <w:szCs w:val="27"/>
          <w:lang w:val="en-US"/>
        </w:rPr>
        <w:t xml:space="preserve"> </w:t>
      </w:r>
      <w:hyperlink r:id="R7333df9772ab4ea6">
        <w:r w:rsidRPr="74EF8476" w:rsidR="7F1579FF">
          <w:rPr>
            <w:rStyle w:val="Hyperlink"/>
            <w:rFonts w:ascii="Aptos" w:hAnsi="Aptos" w:eastAsia="Aptos" w:cs="Aptos" w:asciiTheme="minorAscii" w:hAnsiTheme="minorAscii" w:eastAsiaTheme="minorAscii" w:cstheme="minorAscii"/>
            <w:b w:val="0"/>
            <w:bCs w:val="0"/>
            <w:i w:val="0"/>
            <w:iCs w:val="0"/>
            <w:caps w:val="0"/>
            <w:smallCaps w:val="0"/>
            <w:noProof w:val="0"/>
            <w:sz w:val="22"/>
            <w:szCs w:val="22"/>
            <w:lang w:val="en-US"/>
          </w:rPr>
          <w:t>https://www.norfolk.gov.uk/article/42510/Report-a-concern---safeguarding</w:t>
        </w:r>
      </w:hyperlink>
      <w:r w:rsidRPr="74EF8476" w:rsidR="7F1579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7F1579FF" w:rsidP="74EF8476" w:rsidRDefault="7F1579FF" w14:paraId="7D976057" w14:textId="6687482A">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4EF8476" w:rsidR="7F1579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an emergency, call 999.</w:t>
      </w:r>
    </w:p>
    <w:p w:rsidR="599A7BD4" w:rsidP="779A8B29" w:rsidRDefault="599A7BD4" w14:paraId="2D7A4477" w14:textId="42A3C281">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We will keep adults at risk of harm safe by</w:t>
      </w:r>
      <w:r w:rsidRPr="779A8B29" w:rsidR="714BA9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714BA91E" w:rsidP="779A8B29" w:rsidRDefault="714BA91E" w14:paraId="3D24B6EA" w14:textId="7DD82E0B">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714BA9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aluing, listening to and respecting them</w:t>
      </w:r>
    </w:p>
    <w:p w:rsidR="6BBDE11F" w:rsidP="779A8B29" w:rsidRDefault="6BBDE11F" w14:paraId="72175684" w14:textId="24480713">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6BBDE1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sing our safeguarding policies and procedures to share and report all safeguarding concerns to the relevant internal staff and external authorities swiftly and appropriately</w:t>
      </w:r>
      <w:r w:rsidRPr="779A8B29" w:rsidR="5A6A693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1CF0D1BB" w:rsidP="779A8B29" w:rsidRDefault="1CF0D1BB" w14:paraId="3FDBE439" w14:textId="4F737763">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1CF0D1B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nsuring </w:t>
      </w:r>
      <w:r w:rsidRPr="779A8B29" w:rsidR="09E280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w:t>
      </w:r>
      <w:r w:rsidRPr="779A8B29" w:rsidR="09E280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appropriate level</w:t>
      </w:r>
      <w:r w:rsidRPr="779A8B29" w:rsidR="09E280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DBS </w:t>
      </w:r>
      <w:r w:rsidRPr="779A8B29" w:rsidR="0AC3B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disclosure is obtained</w:t>
      </w:r>
      <w:r w:rsidRPr="779A8B29" w:rsidR="713D82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all staff and volunteers who </w:t>
      </w:r>
      <w:r w:rsidRPr="779A8B29" w:rsidR="713D82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come into contact with</w:t>
      </w:r>
      <w:r w:rsidRPr="779A8B29" w:rsidR="713D82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adults who may be at risk of harm.</w:t>
      </w:r>
    </w:p>
    <w:p w:rsidR="07B5A493" w:rsidP="779A8B29" w:rsidRDefault="07B5A493" w14:paraId="26B7DD3F" w14:textId="163D32E3">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07B5A49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roviding effective management, induction </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training</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support so that all staff and volunteers understand the principles of safeguarding and how to </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recognise</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signs of abuse or </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neglect, and</w:t>
      </w:r>
      <w:r w:rsidRPr="779A8B29" w:rsidR="455A53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know how to follow our safeguarding policy and procedures for safeguarding adults at risk.</w:t>
      </w:r>
    </w:p>
    <w:p w:rsidR="14C0B652" w:rsidP="779A8B29" w:rsidRDefault="14C0B652" w14:paraId="397E5691" w14:textId="4B884069">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14C0B6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w:t>
      </w:r>
      <w:r w:rsidRPr="779A8B29" w:rsidR="4B0F79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osteri</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ng a culture </w:t>
      </w:r>
      <w:r w:rsidRPr="779A8B29" w:rsidR="7AF012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where</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staff</w:t>
      </w:r>
      <w:r w:rsidRPr="779A8B29" w:rsidR="7674D5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79A8B29" w:rsidR="7674D5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olunteers</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trustees to</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feel able to raise concerns and feel supported in fulfilling their safeguarding role</w:t>
      </w:r>
      <w:r w:rsidRPr="779A8B29" w:rsidR="02C4D05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75B7144E" w:rsidP="779A8B29" w:rsidRDefault="75B7144E" w14:paraId="194DAF72" w14:textId="5CB3499F">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79A8B29" w:rsidR="75B7144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79A8B29" w:rsidR="599A7B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nsuring </w:t>
      </w:r>
      <w:r w:rsidRPr="779A8B29" w:rsidR="76171D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there is a named safeguarding lead </w:t>
      </w:r>
      <w:r w:rsidRPr="779A8B29" w:rsidR="5F6A54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within the </w:t>
      </w:r>
      <w:r w:rsidRPr="779A8B29" w:rsidR="5F6A54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organisation</w:t>
      </w:r>
      <w:r w:rsidRPr="779A8B29" w:rsidR="01FB9D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who understands their responsibilities</w:t>
      </w:r>
      <w:r w:rsidRPr="779A8B29" w:rsidR="76171D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that all staff, </w:t>
      </w:r>
      <w:r w:rsidRPr="779A8B29" w:rsidR="76171D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volunteers</w:t>
      </w:r>
      <w:r w:rsidRPr="779A8B29" w:rsidR="76171D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trustees know who this is and how to contact them.</w:t>
      </w:r>
    </w:p>
    <w:p w:rsidR="15F79331" w:rsidP="779A8B29" w:rsidRDefault="15F79331" w14:paraId="01278685" w14:textId="739C8258">
      <w:pPr>
        <w:pStyle w:val="Normal"/>
        <w:shd w:val="clear" w:color="auto" w:fill="FFFFFF" w:themeFill="background1"/>
        <w:spacing w:before="0" w:beforeAutospacing="off" w:after="0" w:afterAutospacing="off"/>
        <w:ind w:left="0"/>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779A8B29"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We will respond promptly and appropriately to any safeguarding concern raised by a staff member and take </w:t>
      </w:r>
      <w:r w:rsidRPr="779A8B29"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appropriate action</w:t>
      </w:r>
      <w:r w:rsidRPr="779A8B29"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t>
      </w:r>
    </w:p>
    <w:p w:rsidR="15F79331" w:rsidP="74EF8476" w:rsidRDefault="15F79331" w14:paraId="786B3089" w14:textId="48960795">
      <w:pPr>
        <w:pStyle w:val="Normal"/>
        <w:shd w:val="clear" w:color="auto" w:fill="FFFFFF" w:themeFill="background1"/>
        <w:spacing w:before="0" w:beforeAutospacing="off" w:after="0" w:afterAutospacing="off"/>
        <w:ind w:left="0"/>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74EF8476" w:rsidR="708264DE">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I</w:t>
      </w:r>
      <w:r w:rsidRPr="74EF8476"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f </w:t>
      </w:r>
      <w:r w:rsidRPr="74EF8476" w:rsidR="30281EAB">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we believe</w:t>
      </w:r>
      <w:r w:rsidRPr="74EF8476"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an adult is experiencing, or is at risk of, abuse or neglect</w:t>
      </w:r>
      <w:r w:rsidRPr="74EF8476" w:rsidR="4BCB245A">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we will report the concern to Norfolk County Council</w:t>
      </w:r>
      <w:r w:rsidRPr="74EF8476" w:rsidR="15F79331">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w:t>
      </w:r>
    </w:p>
    <w:p w:rsidR="779A8B29" w:rsidP="779A8B29" w:rsidRDefault="779A8B29" w14:paraId="1145AE4A" w14:textId="6B986761">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p>
    <w:p w:rsidR="779A8B29" w:rsidP="779A8B29" w:rsidRDefault="779A8B29" w14:paraId="12ADB526" w14:textId="1BCF91B3">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p>
    <w:p w:rsidR="040D2F88" w:rsidP="5C3DD0F7" w:rsidRDefault="040D2F88" w14:paraId="0168AEC5" w14:textId="644D9A21">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C3DD0F7" w:rsidR="040D2F88">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Our Power’s</w:t>
      </w:r>
      <w:r w:rsidRPr="5C3DD0F7" w:rsidR="339915C5">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 xml:space="preserve"> Designated </w:t>
      </w:r>
      <w:r w:rsidRPr="5C3DD0F7" w:rsidR="55F4E346">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 xml:space="preserve">Safeguarding Lead </w:t>
      </w:r>
      <w:r w:rsidRPr="5C3DD0F7" w:rsidR="339915C5">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is</w:t>
      </w:r>
      <w:r w:rsidRPr="5C3DD0F7" w:rsidR="3220E027">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 xml:space="preserve">: </w:t>
      </w:r>
    </w:p>
    <w:p w:rsidR="779A8B29" w:rsidP="3399BCD3" w:rsidRDefault="779A8B29" w14:paraId="28F2AC4B" w14:textId="5C19C309">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3399BCD3" w:rsidR="28296CB6">
        <w:rPr>
          <w:sz w:val="22"/>
          <w:szCs w:val="22"/>
        </w:rPr>
        <w:t>Asher Minns, Board Member</w:t>
      </w:r>
      <w:r>
        <w:br/>
      </w:r>
      <w:r>
        <w:br/>
      </w:r>
      <w:r w:rsidRPr="3399BCD3" w:rsidR="339915C5">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The Deputy Safeguarding Lead is</w:t>
      </w:r>
      <w:r w:rsidRPr="3399BCD3" w:rsidR="71B019AB">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t>:</w:t>
      </w:r>
    </w:p>
    <w:p w:rsidR="779A8B29" w:rsidP="3399BCD3" w:rsidRDefault="779A8B29" w14:paraId="321E21C0" w14:textId="00AD5348">
      <w:pPr>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3399BCD3" w:rsidR="7108C0EF">
        <w:rPr>
          <w:sz w:val="22"/>
          <w:szCs w:val="22"/>
        </w:rPr>
        <w:t>Livvy Hanks, General Manager</w:t>
      </w:r>
    </w:p>
    <w:p w:rsidR="779A8B29" w:rsidP="253E2FC9" w:rsidRDefault="779A8B29" w14:paraId="26495A99" w14:textId="2EDA7335">
      <w:pPr>
        <w:shd w:val="clear" w:color="auto" w:fill="FFFFFF" w:themeFill="background1"/>
        <w:spacing w:before="0" w:beforeAutospacing="off" w:after="216" w:afterAutospacing="off"/>
        <w:rPr>
          <w:sz w:val="22"/>
          <w:szCs w:val="22"/>
        </w:rPr>
      </w:pPr>
    </w:p>
    <w:p w:rsidR="779A8B29" w:rsidP="253E2FC9" w:rsidRDefault="779A8B29" w14:paraId="7711264D" w14:textId="75E39F45">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br/>
      </w:r>
      <w:r w:rsidRPr="253E2FC9"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They should be contacted for support and advice on implementing this policy and procedures. </w:t>
      </w:r>
      <w:r w:rsidRPr="253E2FC9" w:rsidR="5B22FB3C">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They </w:t>
      </w:r>
      <w:r w:rsidRPr="253E2FC9" w:rsidR="5B22FB3C">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are responsible for</w:t>
      </w:r>
      <w:r w:rsidRPr="253E2FC9" w:rsidR="5B22FB3C">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monitoring DBS checks and references, training, keeping records of any reported concerns</w:t>
      </w:r>
      <w:r w:rsidRPr="253E2FC9" w:rsidR="14A00289">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in line with data protection and confidentiality, and checking policies </w:t>
      </w:r>
      <w:r w:rsidRPr="253E2FC9" w:rsidR="14A00289">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remain</w:t>
      </w:r>
      <w:r w:rsidRPr="253E2FC9" w:rsidR="14A00289">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up to date.</w:t>
      </w:r>
    </w:p>
    <w:p xmlns:wp14="http://schemas.microsoft.com/office/word/2010/wordml" w:rsidP="779A8B29" wp14:paraId="458265F5" wp14:textId="36708D44">
      <w:pPr>
        <w:pStyle w:val="Heading2"/>
        <w:rPr>
          <w:rFonts w:ascii="Aptos" w:hAnsi="Aptos" w:eastAsia="Aptos" w:cs="Aptos" w:asciiTheme="minorAscii" w:hAnsiTheme="minorAscii" w:eastAsiaTheme="minorAscii" w:cstheme="minorAscii"/>
          <w:b w:val="1"/>
          <w:bCs w:val="1"/>
          <w:i w:val="0"/>
          <w:iCs w:val="0"/>
          <w:caps w:val="0"/>
          <w:smallCaps w:val="0"/>
          <w:noProof w:val="0"/>
          <w:color w:val="1F1F1F"/>
          <w:sz w:val="22"/>
          <w:szCs w:val="22"/>
          <w:lang w:val="en-US"/>
        </w:rPr>
      </w:pPr>
      <w:r w:rsidRPr="779A8B29" w:rsidR="339915C5">
        <w:rPr>
          <w:noProof w:val="0"/>
          <w:lang w:val="en-US"/>
        </w:rPr>
        <w:t>Managing Information</w:t>
      </w:r>
    </w:p>
    <w:p xmlns:wp14="http://schemas.microsoft.com/office/word/2010/wordml" w:rsidP="5C3DD0F7" wp14:paraId="2D80F0C1" wp14:textId="3AEF689B">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pP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All staff must be aware that they have a professional duty to share information with other agencies in order to safeguard adults at risk.</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However, the Mental Capacity Act 2005 (MCA) states that every individual has the right to make their own decisions and therefore safeguarding must respect the autonomy and independence of individuals as well as their right to family life. Staff should not act without consultation and the consent </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from</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the adult at risk unless the adult does not have the mental capacity or unless </w:t>
      </w:r>
      <w:r w:rsidRPr="5C3DD0F7" w:rsidR="34DB5EA4">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this is necessary </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to act in the vital interest of others. The public interest in safeguarding adults at risk may override confidentiality interests. However, information will be shared on a </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need</w:t>
      </w:r>
      <w:r w:rsidRPr="5C3DD0F7" w:rsidR="1FE7CC10">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to</w:t>
      </w:r>
      <w:r w:rsidRPr="5C3DD0F7" w:rsidR="6F4B6C4B">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know</w:t>
      </w:r>
      <w:r w:rsidRPr="5C3DD0F7" w:rsidR="339915C5">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 xml:space="preserve"> basis only, as judged by the </w:t>
      </w:r>
      <w:r w:rsidRPr="5C3DD0F7" w:rsidR="345D04C3">
        <w:rPr>
          <w:rFonts w:ascii="Aptos" w:hAnsi="Aptos" w:eastAsia="Aptos" w:cs="Aptos" w:asciiTheme="minorAscii" w:hAnsiTheme="minorAscii" w:eastAsiaTheme="minorAscii" w:cstheme="minorAscii"/>
          <w:b w:val="0"/>
          <w:bCs w:val="0"/>
          <w:i w:val="0"/>
          <w:iCs w:val="0"/>
          <w:caps w:val="0"/>
          <w:smallCaps w:val="0"/>
          <w:noProof w:val="0"/>
          <w:color w:val="1F1F1F"/>
          <w:sz w:val="22"/>
          <w:szCs w:val="22"/>
          <w:lang w:val="en-US"/>
        </w:rPr>
        <w:t>Safeguarding Lead.</w:t>
      </w:r>
    </w:p>
    <w:p xmlns:wp14="http://schemas.microsoft.com/office/word/2010/wordml" w:rsidP="5806687C" wp14:paraId="2C078E63" wp14:textId="3B1B9505">
      <w:pPr>
        <w:rPr>
          <w:rFonts w:ascii="Aptos" w:hAnsi="Aptos" w:eastAsia="Aptos" w:cs="Aptos" w:asciiTheme="minorAscii" w:hAnsiTheme="minorAscii" w:eastAsiaTheme="minorAscii" w:cstheme="minorAscii"/>
          <w:sz w:val="22"/>
          <w:szCs w:val="22"/>
        </w:rPr>
      </w:pPr>
    </w:p>
    <w:p w:rsidR="24E2CC22" w:rsidP="28CB2348" w:rsidRDefault="24E2CC22" w14:paraId="4824A87C" w14:textId="2162E04C">
      <w:pPr>
        <w:spacing w:before="0" w:beforeAutospacing="off" w:after="375" w:afterAutospacing="off"/>
        <w:rPr>
          <w:rFonts w:ascii="Aptos" w:hAnsi="Aptos" w:eastAsia="Aptos" w:cs="Aptos"/>
          <w:noProof w:val="0"/>
          <w:sz w:val="22"/>
          <w:szCs w:val="22"/>
          <w:lang w:val="en-US"/>
        </w:rPr>
      </w:pPr>
      <w:r w:rsidRPr="28CB2348" w:rsidR="24E2CC22">
        <w:rPr>
          <w:rFonts w:ascii="Aptos" w:hAnsi="Aptos" w:eastAsia="Aptos" w:cs="Aptos"/>
          <w:b w:val="0"/>
          <w:bCs w:val="0"/>
          <w:i w:val="0"/>
          <w:iCs w:val="0"/>
          <w:caps w:val="0"/>
          <w:smallCaps w:val="0"/>
          <w:noProof w:val="0"/>
          <w:color w:val="000000" w:themeColor="text1" w:themeTint="FF" w:themeShade="FF"/>
          <w:sz w:val="22"/>
          <w:szCs w:val="22"/>
          <w:lang w:val="en-US"/>
        </w:rPr>
        <w:t>Overall and final responsibility for ensuring this policy is implemented and updated as necessary lies with the Board.</w:t>
      </w:r>
    </w:p>
    <w:p w:rsidR="28CB2348" w:rsidP="28CB2348" w:rsidRDefault="28CB2348" w14:paraId="199719E1" w14:textId="04A58182">
      <w:pPr>
        <w:rPr>
          <w:rFonts w:ascii="Aptos" w:hAnsi="Aptos" w:eastAsia="Aptos" w:cs="Aptos" w:asciiTheme="minorAscii" w:hAnsiTheme="minorAscii" w:eastAsiaTheme="minorAscii" w:cstheme="minorAscii"/>
          <w:sz w:val="22"/>
          <w:szCs w:val="22"/>
        </w:rPr>
      </w:pPr>
    </w:p>
    <w:p w:rsidR="2DFAFE7F" w:rsidP="779A8B29" w:rsidRDefault="2DFAFE7F" w14:paraId="0F460C93" w14:textId="0812776C">
      <w:pPr>
        <w:rPr>
          <w:rFonts w:ascii="Aptos" w:hAnsi="Aptos" w:eastAsia="Aptos" w:cs="Aptos" w:asciiTheme="minorAscii" w:hAnsiTheme="minorAscii" w:eastAsiaTheme="minorAscii" w:cstheme="minorAscii"/>
          <w:sz w:val="22"/>
          <w:szCs w:val="22"/>
        </w:rPr>
      </w:pPr>
      <w:r w:rsidRPr="5C3DD0F7" w:rsidR="2DFAFE7F">
        <w:rPr>
          <w:rFonts w:ascii="Aptos" w:hAnsi="Aptos" w:eastAsia="Aptos" w:cs="Aptos" w:asciiTheme="minorAscii" w:hAnsiTheme="minorAscii" w:eastAsiaTheme="minorAscii" w:cstheme="minorAscii"/>
          <w:sz w:val="22"/>
          <w:szCs w:val="22"/>
        </w:rPr>
        <w:t>Signed:</w:t>
      </w:r>
      <w:r w:rsidRPr="5C3DD0F7" w:rsidR="598907BA">
        <w:rPr>
          <w:rFonts w:ascii="Aptos" w:hAnsi="Aptos" w:eastAsia="Aptos" w:cs="Aptos" w:asciiTheme="minorAscii" w:hAnsiTheme="minorAscii" w:eastAsiaTheme="minorAscii" w:cstheme="minorAscii"/>
          <w:sz w:val="22"/>
          <w:szCs w:val="22"/>
        </w:rPr>
        <w:t xml:space="preserve"> Olivia Hanks</w:t>
      </w:r>
    </w:p>
    <w:p w:rsidR="2DFAFE7F" w:rsidP="779A8B29" w:rsidRDefault="2DFAFE7F" w14:paraId="11D6AA21" w14:textId="5601D906">
      <w:pPr>
        <w:rPr>
          <w:rFonts w:ascii="Aptos" w:hAnsi="Aptos" w:eastAsia="Aptos" w:cs="Aptos" w:asciiTheme="minorAscii" w:hAnsiTheme="minorAscii" w:eastAsiaTheme="minorAscii" w:cstheme="minorAscii"/>
          <w:sz w:val="22"/>
          <w:szCs w:val="22"/>
        </w:rPr>
      </w:pPr>
      <w:r w:rsidRPr="74EF8476" w:rsidR="2DFAFE7F">
        <w:rPr>
          <w:rFonts w:ascii="Aptos" w:hAnsi="Aptos" w:eastAsia="Aptos" w:cs="Aptos" w:asciiTheme="minorAscii" w:hAnsiTheme="minorAscii" w:eastAsiaTheme="minorAscii" w:cstheme="minorAscii"/>
          <w:sz w:val="22"/>
          <w:szCs w:val="22"/>
        </w:rPr>
        <w:t>Date:</w:t>
      </w:r>
      <w:r w:rsidRPr="74EF8476" w:rsidR="2940F419">
        <w:rPr>
          <w:rFonts w:ascii="Aptos" w:hAnsi="Aptos" w:eastAsia="Aptos" w:cs="Aptos" w:asciiTheme="minorAscii" w:hAnsiTheme="minorAscii" w:eastAsiaTheme="minorAscii" w:cstheme="minorAscii"/>
          <w:sz w:val="22"/>
          <w:szCs w:val="22"/>
        </w:rPr>
        <w:t xml:space="preserve"> </w:t>
      </w:r>
      <w:r w:rsidRPr="74EF8476" w:rsidR="1EB26EE4">
        <w:rPr>
          <w:rFonts w:ascii="Aptos" w:hAnsi="Aptos" w:eastAsia="Aptos" w:cs="Aptos" w:asciiTheme="minorAscii" w:hAnsiTheme="minorAscii" w:eastAsiaTheme="minorAscii" w:cstheme="minorAscii"/>
          <w:sz w:val="22"/>
          <w:szCs w:val="22"/>
        </w:rPr>
        <w:t>Updat</w:t>
      </w:r>
      <w:r w:rsidRPr="74EF8476" w:rsidR="39D01CE5">
        <w:rPr>
          <w:rFonts w:ascii="Aptos" w:hAnsi="Aptos" w:eastAsia="Aptos" w:cs="Aptos" w:asciiTheme="minorAscii" w:hAnsiTheme="minorAscii" w:eastAsiaTheme="minorAscii" w:cstheme="minorAscii"/>
          <w:sz w:val="22"/>
          <w:szCs w:val="22"/>
        </w:rPr>
        <w:t>ed 3</w:t>
      </w:r>
      <w:r w:rsidRPr="74EF8476" w:rsidR="39D01CE5">
        <w:rPr>
          <w:rFonts w:ascii="Aptos" w:hAnsi="Aptos" w:eastAsia="Aptos" w:cs="Aptos" w:asciiTheme="minorAscii" w:hAnsiTheme="minorAscii" w:eastAsiaTheme="minorAscii" w:cstheme="minorAscii"/>
          <w:sz w:val="22"/>
          <w:szCs w:val="22"/>
          <w:vertAlign w:val="superscript"/>
        </w:rPr>
        <w:t>rd</w:t>
      </w:r>
      <w:r w:rsidRPr="74EF8476" w:rsidR="39D01CE5">
        <w:rPr>
          <w:rFonts w:ascii="Aptos" w:hAnsi="Aptos" w:eastAsia="Aptos" w:cs="Aptos" w:asciiTheme="minorAscii" w:hAnsiTheme="minorAscii" w:eastAsiaTheme="minorAscii" w:cstheme="minorAscii"/>
          <w:sz w:val="22"/>
          <w:szCs w:val="22"/>
        </w:rPr>
        <w:t xml:space="preserve"> November</w:t>
      </w:r>
      <w:r w:rsidRPr="74EF8476" w:rsidR="2940F419">
        <w:rPr>
          <w:rFonts w:ascii="Aptos" w:hAnsi="Aptos" w:eastAsia="Aptos" w:cs="Aptos" w:asciiTheme="minorAscii" w:hAnsiTheme="minorAscii" w:eastAsiaTheme="minorAscii" w:cstheme="minorAscii"/>
          <w:sz w:val="22"/>
          <w:szCs w:val="22"/>
        </w:rPr>
        <w:t xml:space="preserve"> 2025</w:t>
      </w:r>
    </w:p>
    <w:p w:rsidR="0F2F73FF" w:rsidP="779A8B29" w:rsidRDefault="0F2F73FF" w14:paraId="6F57A156" w14:textId="76732AB8">
      <w:pPr>
        <w:spacing w:before="240" w:beforeAutospacing="off" w:after="240" w:afterAutospacing="off"/>
        <w:rPr>
          <w:rFonts w:ascii="Aptos" w:hAnsi="Aptos" w:eastAsia="Aptos" w:cs="Aptos" w:asciiTheme="minorAscii" w:hAnsiTheme="minorAscii" w:eastAsiaTheme="minorAscii" w:cstheme="minorAscii"/>
          <w:noProof w:val="0"/>
          <w:sz w:val="22"/>
          <w:szCs w:val="22"/>
          <w:lang w:val="en-US"/>
        </w:rPr>
      </w:pPr>
      <w:r w:rsidRPr="5C3DD0F7" w:rsidR="0F2F73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This policy will be reviewed and revised as the need arises and no later than 3</w:t>
      </w:r>
      <w:r w:rsidRPr="5C3DD0F7" w:rsidR="7D685B3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0th September </w:t>
      </w:r>
      <w:r w:rsidRPr="5C3DD0F7" w:rsidR="0F2F73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2026.</w:t>
      </w:r>
    </w:p>
    <w:p w:rsidR="779A8B29" w:rsidP="779A8B29" w:rsidRDefault="779A8B29" w14:paraId="530DBC7E" w14:textId="055C281D">
      <w:pPr>
        <w:rPr>
          <w:rFonts w:ascii="Aptos" w:hAnsi="Aptos" w:eastAsia="Aptos" w:cs="Aptos" w:asciiTheme="minorAscii" w:hAnsiTheme="minorAscii" w:eastAsiaTheme="minorAscii" w:cstheme="minorAscii"/>
          <w:sz w:val="22"/>
          <w:szCs w:val="22"/>
        </w:rPr>
      </w:pPr>
    </w:p>
    <w:sectPr>
      <w:pgSz w:w="12240" w:h="15840" w:orient="portrait"/>
      <w:pgMar w:top="1440" w:right="1440" w:bottom="1440" w:left="1440" w:header="720" w:footer="720" w:gutter="0"/>
      <w:cols w:space="720"/>
      <w:docGrid w:linePitch="360"/>
      <w:headerReference w:type="default" r:id="R0811d7bf0b7b4e46"/>
      <w:footerReference w:type="default" r:id="R9364ab6c2a3546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9A8B29" w:rsidTr="779A8B29" w14:paraId="7E3DDEF5">
      <w:trPr>
        <w:trHeight w:val="300"/>
      </w:trPr>
      <w:tc>
        <w:tcPr>
          <w:tcW w:w="3120" w:type="dxa"/>
          <w:tcMar/>
        </w:tcPr>
        <w:p w:rsidR="779A8B29" w:rsidP="779A8B29" w:rsidRDefault="779A8B29" w14:paraId="49B7F2EC" w14:textId="76765884">
          <w:pPr>
            <w:pStyle w:val="Header"/>
            <w:bidi w:val="0"/>
            <w:ind w:left="-115"/>
            <w:jc w:val="left"/>
          </w:pPr>
        </w:p>
      </w:tc>
      <w:tc>
        <w:tcPr>
          <w:tcW w:w="3120" w:type="dxa"/>
          <w:tcMar/>
        </w:tcPr>
        <w:p w:rsidR="779A8B29" w:rsidP="779A8B29" w:rsidRDefault="779A8B29" w14:paraId="552FB98F" w14:textId="07558D6D">
          <w:pPr>
            <w:pStyle w:val="Header"/>
            <w:bidi w:val="0"/>
            <w:jc w:val="center"/>
          </w:pPr>
        </w:p>
      </w:tc>
      <w:tc>
        <w:tcPr>
          <w:tcW w:w="3120" w:type="dxa"/>
          <w:tcMar/>
        </w:tcPr>
        <w:p w:rsidR="779A8B29" w:rsidP="779A8B29" w:rsidRDefault="779A8B29" w14:paraId="3C1B014A" w14:textId="752094AD">
          <w:pPr>
            <w:pStyle w:val="Header"/>
            <w:bidi w:val="0"/>
            <w:ind w:right="-115"/>
            <w:jc w:val="right"/>
          </w:pPr>
        </w:p>
      </w:tc>
    </w:tr>
  </w:tbl>
  <w:p w:rsidR="779A8B29" w:rsidP="779A8B29" w:rsidRDefault="779A8B29" w14:paraId="491CAA6B" w14:textId="0D5FDB9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9A8B29" w:rsidTr="779A8B29" w14:paraId="48C5A4BA">
      <w:trPr>
        <w:trHeight w:val="300"/>
      </w:trPr>
      <w:tc>
        <w:tcPr>
          <w:tcW w:w="3120" w:type="dxa"/>
          <w:tcMar/>
        </w:tcPr>
        <w:p w:rsidR="779A8B29" w:rsidP="779A8B29" w:rsidRDefault="779A8B29" w14:paraId="524133E3" w14:textId="6036F5F5">
          <w:pPr>
            <w:pStyle w:val="Header"/>
            <w:bidi w:val="0"/>
            <w:ind w:left="-115"/>
            <w:jc w:val="left"/>
          </w:pPr>
        </w:p>
      </w:tc>
      <w:tc>
        <w:tcPr>
          <w:tcW w:w="3120" w:type="dxa"/>
          <w:tcMar/>
        </w:tcPr>
        <w:p w:rsidR="779A8B29" w:rsidP="779A8B29" w:rsidRDefault="779A8B29" w14:paraId="02391183" w14:textId="13454165">
          <w:pPr>
            <w:pStyle w:val="Header"/>
            <w:bidi w:val="0"/>
            <w:jc w:val="center"/>
          </w:pPr>
        </w:p>
      </w:tc>
      <w:tc>
        <w:tcPr>
          <w:tcW w:w="3120" w:type="dxa"/>
          <w:tcMar/>
        </w:tcPr>
        <w:p w:rsidR="779A8B29" w:rsidP="779A8B29" w:rsidRDefault="779A8B29" w14:paraId="0B71B1FB" w14:textId="7FB536A4">
          <w:pPr>
            <w:bidi w:val="0"/>
            <w:ind w:right="-115"/>
            <w:jc w:val="right"/>
          </w:pPr>
          <w:r w:rsidR="779A8B29">
            <w:drawing>
              <wp:inline wp14:editId="7B70AC21" wp14:anchorId="1CD9088D">
                <wp:extent cx="762000" cy="752475"/>
                <wp:effectExtent l="0" t="0" r="0" b="0"/>
                <wp:docPr id="16902553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9025530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3620441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62000" cy="752475"/>
                        </a:xfrm>
                        <a:prstGeom xmlns:a="http://schemas.openxmlformats.org/drawingml/2006/main" prst="rect">
                          <a:avLst xmlns:a="http://schemas.openxmlformats.org/drawingml/2006/main"/>
                        </a:prstGeom>
                      </pic:spPr>
                    </pic:pic>
                  </a:graphicData>
                </a:graphic>
              </wp:inline>
            </w:drawing>
          </w:r>
        </w:p>
      </w:tc>
    </w:tr>
  </w:tbl>
  <w:p w:rsidR="779A8B29" w:rsidP="779A8B29" w:rsidRDefault="779A8B29" w14:paraId="01D15775" w14:textId="45436DEC">
    <w:pPr>
      <w:pStyle w:val="Header"/>
      <w:bidi w:val="0"/>
    </w:pPr>
  </w:p>
</w:hdr>
</file>

<file path=word/numbering.xml><?xml version="1.0" encoding="utf-8"?>
<w:numbering xmlns:w="http://schemas.openxmlformats.org/wordprocessingml/2006/main">
  <w:abstractNum xmlns:w="http://schemas.openxmlformats.org/wordprocessingml/2006/main" w:abstractNumId="9">
    <w:nsid w:val="37cd9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956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48b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53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bb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98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ed6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6f6d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2c6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683F1"/>
    <w:rsid w:val="00E3CA81"/>
    <w:rsid w:val="01FB9D3A"/>
    <w:rsid w:val="02C4D05C"/>
    <w:rsid w:val="040D2F88"/>
    <w:rsid w:val="04FBAA32"/>
    <w:rsid w:val="053EF6CD"/>
    <w:rsid w:val="07B5A493"/>
    <w:rsid w:val="08B6841C"/>
    <w:rsid w:val="091739F3"/>
    <w:rsid w:val="09B2CAA5"/>
    <w:rsid w:val="09E28060"/>
    <w:rsid w:val="0A2D4F66"/>
    <w:rsid w:val="0AC3B8B5"/>
    <w:rsid w:val="0C4A8C38"/>
    <w:rsid w:val="0D995606"/>
    <w:rsid w:val="0E4DF742"/>
    <w:rsid w:val="0F2F73FF"/>
    <w:rsid w:val="1026942E"/>
    <w:rsid w:val="107B61C4"/>
    <w:rsid w:val="108479B3"/>
    <w:rsid w:val="1145F6A4"/>
    <w:rsid w:val="12B40137"/>
    <w:rsid w:val="14760FEB"/>
    <w:rsid w:val="14A00289"/>
    <w:rsid w:val="14C0B652"/>
    <w:rsid w:val="1517AA06"/>
    <w:rsid w:val="15F79331"/>
    <w:rsid w:val="183DF191"/>
    <w:rsid w:val="19355239"/>
    <w:rsid w:val="1A8B5059"/>
    <w:rsid w:val="1B54FB52"/>
    <w:rsid w:val="1BB00352"/>
    <w:rsid w:val="1CF0D1BB"/>
    <w:rsid w:val="1D812197"/>
    <w:rsid w:val="1EB26EE4"/>
    <w:rsid w:val="1F4C3BFD"/>
    <w:rsid w:val="1F87BAE4"/>
    <w:rsid w:val="1FE7CC10"/>
    <w:rsid w:val="20A48D90"/>
    <w:rsid w:val="221EF85A"/>
    <w:rsid w:val="24E2CC22"/>
    <w:rsid w:val="253E2FC9"/>
    <w:rsid w:val="256CA3D0"/>
    <w:rsid w:val="257A2B63"/>
    <w:rsid w:val="25A023DA"/>
    <w:rsid w:val="2608578B"/>
    <w:rsid w:val="26563E83"/>
    <w:rsid w:val="270C9FA8"/>
    <w:rsid w:val="28296CB6"/>
    <w:rsid w:val="28CB2348"/>
    <w:rsid w:val="28DECDAC"/>
    <w:rsid w:val="291A55A6"/>
    <w:rsid w:val="2940F419"/>
    <w:rsid w:val="298FBEB6"/>
    <w:rsid w:val="2C0664C6"/>
    <w:rsid w:val="2DA162EF"/>
    <w:rsid w:val="2DAB9359"/>
    <w:rsid w:val="2DFAFE7F"/>
    <w:rsid w:val="2E7BFB75"/>
    <w:rsid w:val="30281EAB"/>
    <w:rsid w:val="30F81F2B"/>
    <w:rsid w:val="31CD1FE5"/>
    <w:rsid w:val="3220E027"/>
    <w:rsid w:val="339915C5"/>
    <w:rsid w:val="3399BCD3"/>
    <w:rsid w:val="345D04C3"/>
    <w:rsid w:val="34A683F1"/>
    <w:rsid w:val="34DB5EA4"/>
    <w:rsid w:val="366EFADF"/>
    <w:rsid w:val="36972DC9"/>
    <w:rsid w:val="37AF20E6"/>
    <w:rsid w:val="39D01CE5"/>
    <w:rsid w:val="3D237DA7"/>
    <w:rsid w:val="3F9E1B64"/>
    <w:rsid w:val="409EFDC5"/>
    <w:rsid w:val="40BA58E9"/>
    <w:rsid w:val="41235D90"/>
    <w:rsid w:val="4348EF3B"/>
    <w:rsid w:val="43F72523"/>
    <w:rsid w:val="44044FB7"/>
    <w:rsid w:val="45042E0A"/>
    <w:rsid w:val="455A535D"/>
    <w:rsid w:val="4B0F7955"/>
    <w:rsid w:val="4B625D11"/>
    <w:rsid w:val="4BCB245A"/>
    <w:rsid w:val="4C6A4E02"/>
    <w:rsid w:val="5245A4C3"/>
    <w:rsid w:val="5302A906"/>
    <w:rsid w:val="5332D191"/>
    <w:rsid w:val="5486F3EA"/>
    <w:rsid w:val="5590BF3F"/>
    <w:rsid w:val="55F4E346"/>
    <w:rsid w:val="568FCA60"/>
    <w:rsid w:val="57890844"/>
    <w:rsid w:val="5806687C"/>
    <w:rsid w:val="58118CDD"/>
    <w:rsid w:val="5882BC8B"/>
    <w:rsid w:val="58CDAC06"/>
    <w:rsid w:val="598907BA"/>
    <w:rsid w:val="599A7BD4"/>
    <w:rsid w:val="5A12C4DD"/>
    <w:rsid w:val="5A13A3BB"/>
    <w:rsid w:val="5A229E0F"/>
    <w:rsid w:val="5A6A6933"/>
    <w:rsid w:val="5B22FB3C"/>
    <w:rsid w:val="5C3DD0F7"/>
    <w:rsid w:val="5C738861"/>
    <w:rsid w:val="5EF2F984"/>
    <w:rsid w:val="5F3A5483"/>
    <w:rsid w:val="5F6A5425"/>
    <w:rsid w:val="616F5457"/>
    <w:rsid w:val="6263B562"/>
    <w:rsid w:val="6365F1DA"/>
    <w:rsid w:val="63A7FDB2"/>
    <w:rsid w:val="64BB1C14"/>
    <w:rsid w:val="64BE441F"/>
    <w:rsid w:val="66E68858"/>
    <w:rsid w:val="66E68858"/>
    <w:rsid w:val="68D6E062"/>
    <w:rsid w:val="6965B4F8"/>
    <w:rsid w:val="69D78398"/>
    <w:rsid w:val="6BBDE11F"/>
    <w:rsid w:val="6C382A98"/>
    <w:rsid w:val="6D972F20"/>
    <w:rsid w:val="6E8E38CC"/>
    <w:rsid w:val="6F4B6C4B"/>
    <w:rsid w:val="708264DE"/>
    <w:rsid w:val="708F5463"/>
    <w:rsid w:val="7108C0EF"/>
    <w:rsid w:val="713D8264"/>
    <w:rsid w:val="7148A692"/>
    <w:rsid w:val="714BA91E"/>
    <w:rsid w:val="71A0C557"/>
    <w:rsid w:val="71B019AB"/>
    <w:rsid w:val="72A39313"/>
    <w:rsid w:val="74EF8476"/>
    <w:rsid w:val="75037D99"/>
    <w:rsid w:val="75B7144E"/>
    <w:rsid w:val="76171DDA"/>
    <w:rsid w:val="7674D556"/>
    <w:rsid w:val="779A8B29"/>
    <w:rsid w:val="79E3BDD6"/>
    <w:rsid w:val="7AF01299"/>
    <w:rsid w:val="7B158E0E"/>
    <w:rsid w:val="7B84676D"/>
    <w:rsid w:val="7BB661DB"/>
    <w:rsid w:val="7C24D9C6"/>
    <w:rsid w:val="7D685B3D"/>
    <w:rsid w:val="7E31739E"/>
    <w:rsid w:val="7EE8099F"/>
    <w:rsid w:val="7F1579FF"/>
    <w:rsid w:val="7F5CFA63"/>
    <w:rsid w:val="7F9D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83F1"/>
  <w15:chartTrackingRefBased/>
  <w15:docId w15:val="{9DFB3929-DDE6-4824-B2F2-67BB962EB7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806687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5806687C"/>
    <w:pPr>
      <w:spacing/>
      <w:ind w:left="720"/>
      <w:contextualSpacing/>
    </w:pPr>
  </w:style>
  <w:style w:type="character" w:styleId="Hyperlink">
    <w:uiPriority w:val="99"/>
    <w:name w:val="Hyperlink"/>
    <w:basedOn w:val="DefaultParagraphFont"/>
    <w:unhideWhenUsed/>
    <w:rsid w:val="5806687C"/>
    <w:rPr>
      <w:color w:val="467886"/>
      <w:u w:val="single"/>
    </w:rPr>
  </w:style>
  <w:style w:type="paragraph" w:styleId="Header">
    <w:uiPriority w:val="99"/>
    <w:name w:val="header"/>
    <w:basedOn w:val="Normal"/>
    <w:unhideWhenUsed/>
    <w:rsid w:val="779A8B29"/>
    <w:pPr>
      <w:tabs>
        <w:tab w:val="center" w:leader="none" w:pos="4680"/>
        <w:tab w:val="right" w:leader="none" w:pos="9360"/>
      </w:tabs>
      <w:spacing w:after="0" w:line="240" w:lineRule="auto"/>
    </w:pPr>
  </w:style>
  <w:style w:type="paragraph" w:styleId="Footer">
    <w:uiPriority w:val="99"/>
    <w:name w:val="footer"/>
    <w:basedOn w:val="Normal"/>
    <w:unhideWhenUsed/>
    <w:rsid w:val="779A8B29"/>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779A8B2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7023ba642214035" /><Relationship Type="http://schemas.openxmlformats.org/officeDocument/2006/relationships/hyperlink" Target="https://www.legislation.gov.uk/ukpga/2014/23/contents" TargetMode="External" Id="Rc4ba9198e9ce45fa" /><Relationship Type="http://schemas.openxmlformats.org/officeDocument/2006/relationships/header" Target="header.xml" Id="R0811d7bf0b7b4e46" /><Relationship Type="http://schemas.openxmlformats.org/officeDocument/2006/relationships/footer" Target="footer.xml" Id="R9364ab6c2a35464f" /><Relationship Type="http://schemas.openxmlformats.org/officeDocument/2006/relationships/hyperlink" Target="https://www.norfolk.gov.uk/article/42510/Report-a-concern---safeguarding" TargetMode="External" Id="R7333df9772ab4ea6" /></Relationships>
</file>

<file path=word/_rels/header.xml.rels>&#65279;<?xml version="1.0" encoding="utf-8"?><Relationships xmlns="http://schemas.openxmlformats.org/package/2006/relationships"><Relationship Type="http://schemas.openxmlformats.org/officeDocument/2006/relationships/image" Target="/media/image.png" Id="rId193620441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78AA361A50A4DBC78B28520908D76" ma:contentTypeVersion="11" ma:contentTypeDescription="Create a new document." ma:contentTypeScope="" ma:versionID="77cb735c7fa90559541ebabc9a83a5c9">
  <xsd:schema xmlns:xsd="http://www.w3.org/2001/XMLSchema" xmlns:xs="http://www.w3.org/2001/XMLSchema" xmlns:p="http://schemas.microsoft.com/office/2006/metadata/properties" xmlns:ns2="7c673a37-2013-4e5b-b400-6027590ae965" xmlns:ns3="6674bf02-fd3e-49f0-9889-85437303bb12" targetNamespace="http://schemas.microsoft.com/office/2006/metadata/properties" ma:root="true" ma:fieldsID="c212478617ed93c281e89bb7bf249849" ns2:_="" ns3:_="">
    <xsd:import namespace="7c673a37-2013-4e5b-b400-6027590ae965"/>
    <xsd:import namespace="6674bf02-fd3e-49f0-9889-85437303b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73a37-2013-4e5b-b400-6027590a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91d1fc-8144-471b-b9db-da86866c8f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4bf02-fd3e-49f0-9889-85437303b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6729a-4f87-4bf4-840c-371d14f46ffb}" ma:internalName="TaxCatchAll" ma:showField="CatchAllData" ma:web="6674bf02-fd3e-49f0-9889-85437303b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73a37-2013-4e5b-b400-6027590ae965">
      <Terms xmlns="http://schemas.microsoft.com/office/infopath/2007/PartnerControls"/>
    </lcf76f155ced4ddcb4097134ff3c332f>
    <TaxCatchAll xmlns="6674bf02-fd3e-49f0-9889-85437303bb12" xsi:nil="true"/>
  </documentManagement>
</p:properties>
</file>

<file path=customXml/itemProps1.xml><?xml version="1.0" encoding="utf-8"?>
<ds:datastoreItem xmlns:ds="http://schemas.openxmlformats.org/officeDocument/2006/customXml" ds:itemID="{4217C217-2A7F-48A5-80CB-8C531C3DE33B}"/>
</file>

<file path=customXml/itemProps2.xml><?xml version="1.0" encoding="utf-8"?>
<ds:datastoreItem xmlns:ds="http://schemas.openxmlformats.org/officeDocument/2006/customXml" ds:itemID="{4B609DDB-A19C-47E1-9811-06775FC8886B}"/>
</file>

<file path=customXml/itemProps3.xml><?xml version="1.0" encoding="utf-8"?>
<ds:datastoreItem xmlns:ds="http://schemas.openxmlformats.org/officeDocument/2006/customXml" ds:itemID="{44B76A35-03CC-41D1-8B51-5DC1C86F35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Livvy Hanks</dc:creator>
  <keywords/>
  <dc:description/>
  <lastModifiedBy>Livvy Hanks</lastModifiedBy>
  <dcterms:created xsi:type="dcterms:W3CDTF">2025-08-28T14:56:49.0000000Z</dcterms:created>
  <dcterms:modified xsi:type="dcterms:W3CDTF">2025-11-03T11:13:48.8601002Z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0x010100F4978AA361A50A4DBC78B28520908D76</vt:lpwstr>
  </property>
  <property fmtid="{D5CDD505-2E9C-101B-9397-08002B2CF9AE}" pid="3" name="MediaServiceImageTags">
    <vt:lpwstr/>
  </property>
</Properties>
</file>